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2025年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5月22日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、コドモンカレッジの「園舎の「困った」とどう向き合う？～現場事例から考える、建物や設備メンテナンスのポイント～」を受講したため、下記の通り報告いたします。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2025年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5月22日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園舎の「困った」とどう向き合う？～現場事例から考える、建物や設備メンテナンスのポイント～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社会福祉法人清香会 開発推進部／株式会社エコテック 園舎診断アプリ アドバイザー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松本 涼子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エコテラスグループ 株式会社エコテック ソリューション事業部 園舎点検責任者　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原田 顕英 先生 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園舎でよくある、建物の不具合で困った時の対処法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普段は気づきにくい、建物管理で注目すべきポイント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建物管理で、何をすればいいかわからない時の対処法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