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11月20日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読み書きが苦手な子に寄り添うための基礎知識 〜学童保育でできることはなんだろう？〜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11月20日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読み書きが苦手な子に寄り添うための基礎知識 〜学童保育でできることはなんだろう？〜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言語聴覚士　発達性読み書き障害当事者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関口 裕昭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発達性読み書き障害とは？【知識】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実体験を通して考える【体験】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学童保育でできること【支援】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