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1月22日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【過去動画配信】特性のある子どもが見ている世界とは？ 〜動画や先端技術を通じて見え方・捉え方を知ろう〜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1月22日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【過去動画配信】特性のある子どもが見ている世界とは？〜動画や先端技術を通じて見え方・捉え方を知ろう〜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東京大学 ニューロインテリジェンス国際研究機構 特任教授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長井 志江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特性のある子どもたちが感じている世界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特徴を支援に活かす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