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5月28日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自分らしく働きながら保育の質の向上を目指して ～「なりたい私」を叶えるための、キャリアラダー実践ガイド～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5月28日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自分らしく働きながら保育の質の向上を目指して ～「なりたい私」を叶えるための、キャリアラダー実践ガイド～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横浜市立大学大学院 国際マネジメント研究科 国際商学部 教授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高木 俊雄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なぜ今、キャリアラダーが必要なの？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キャリアラダーの構造と活用場面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具体：明日からすぐ使える「面談と日頃の活用法」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